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644A" w14:textId="77777777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44653895" w14:textId="3CC88F4C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2845E596" wp14:editId="096D2F9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893D4" w14:textId="77777777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678C14D7" w14:textId="77777777" w:rsidR="000E723E" w:rsidRDefault="000E723E" w:rsidP="000E723E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04085A72" w14:textId="77777777" w:rsidR="000E723E" w:rsidRDefault="000E723E" w:rsidP="000E723E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РЕШЕНИЕ </w:t>
      </w:r>
    </w:p>
    <w:p w14:paraId="4F826ED3" w14:textId="7267DC64" w:rsidR="000E723E" w:rsidRDefault="000E723E" w:rsidP="000E723E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20 июня 2024 года</w:t>
      </w:r>
      <w:r>
        <w:rPr>
          <w:rFonts w:eastAsia="Times New Roman"/>
          <w:b/>
          <w:lang w:eastAsia="ru-RU"/>
        </w:rPr>
        <w:tab/>
        <w:t xml:space="preserve">     № 68-14</w:t>
      </w:r>
    </w:p>
    <w:p w14:paraId="59E28352" w14:textId="77777777" w:rsidR="000E723E" w:rsidRDefault="000E723E" w:rsidP="000E723E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61D4C57E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AA95169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Об исключении из резерва составов участковых комиссий</w:t>
      </w:r>
    </w:p>
    <w:p w14:paraId="0CA4EC6F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2E0F1626" w14:textId="77777777" w:rsidR="000E723E" w:rsidRDefault="000E723E" w:rsidP="000E723E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(далее – Комиссия) </w:t>
      </w:r>
      <w:r>
        <w:rPr>
          <w:b/>
        </w:rPr>
        <w:t>решила</w:t>
      </w:r>
      <w:r>
        <w:t>:</w:t>
      </w:r>
    </w:p>
    <w:p w14:paraId="13D16FA6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  <w:t>Исключить из резерва составов участковых комиссий кандидатур согласно приложению к настоящему решению.</w:t>
      </w:r>
    </w:p>
    <w:p w14:paraId="64B4DD7D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  <w:t>Направить настоящее решение и список кандидатур для исключения из резерва составов участковых комиссий в Санкт-Петербургскую избирательную комиссию.</w:t>
      </w:r>
    </w:p>
    <w:p w14:paraId="09A1E85E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  <w:t xml:space="preserve">Разместить настоящее решение на официальном сайте Комиссии в информационно-телекоммуникационной сети «Интернет». </w:t>
      </w:r>
    </w:p>
    <w:p w14:paraId="235C1D77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29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1FE3245E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67F6DE39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04B813C4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24DAFEA0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0067115A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избирательной комиссии № 29                                                    И.П. </w:t>
      </w:r>
      <w:proofErr w:type="spellStart"/>
      <w:r>
        <w:rPr>
          <w:bCs/>
        </w:rPr>
        <w:t>Сагирова</w:t>
      </w:r>
      <w:proofErr w:type="spellEnd"/>
    </w:p>
    <w:p w14:paraId="0D115947" w14:textId="77777777" w:rsidR="000E723E" w:rsidRDefault="000E723E" w:rsidP="000E723E">
      <w:pPr>
        <w:spacing w:line="240" w:lineRule="auto"/>
        <w:ind w:firstLine="567"/>
        <w:jc w:val="left"/>
        <w:rPr>
          <w:bCs/>
          <w:sz w:val="16"/>
          <w:szCs w:val="16"/>
        </w:rPr>
      </w:pPr>
    </w:p>
    <w:p w14:paraId="6D9AB961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63C6BC7B" w14:textId="77777777" w:rsidR="000E723E" w:rsidRDefault="000E723E" w:rsidP="000E723E">
      <w:pPr>
        <w:spacing w:line="240" w:lineRule="auto"/>
        <w:ind w:firstLine="567"/>
        <w:jc w:val="left"/>
      </w:pPr>
      <w:r>
        <w:rPr>
          <w:bCs/>
        </w:rPr>
        <w:t>избирательной комиссии № 29                                            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0E723E" w14:paraId="6FBC8EB0" w14:textId="77777777" w:rsidTr="000E723E">
        <w:tc>
          <w:tcPr>
            <w:tcW w:w="4669" w:type="dxa"/>
          </w:tcPr>
          <w:p w14:paraId="5A39AE26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71DABE1F" w14:textId="77777777" w:rsidR="000E723E" w:rsidRDefault="000E723E">
            <w:pPr>
              <w:pStyle w:val="2"/>
              <w:ind w:firstLine="567"/>
              <w:jc w:val="right"/>
              <w:rPr>
                <w:lang w:eastAsia="en-US"/>
              </w:rPr>
            </w:pPr>
          </w:p>
        </w:tc>
      </w:tr>
      <w:tr w:rsidR="000E723E" w14:paraId="4DB788D3" w14:textId="77777777" w:rsidTr="000E723E">
        <w:tc>
          <w:tcPr>
            <w:tcW w:w="4669" w:type="dxa"/>
          </w:tcPr>
          <w:p w14:paraId="2FBAF7A4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32BB123D" w14:textId="77777777" w:rsidR="000E723E" w:rsidRDefault="000E723E">
            <w:pPr>
              <w:pStyle w:val="2"/>
              <w:ind w:firstLine="567"/>
              <w:rPr>
                <w:lang w:eastAsia="en-US"/>
              </w:rPr>
            </w:pPr>
          </w:p>
        </w:tc>
      </w:tr>
      <w:tr w:rsidR="000E723E" w14:paraId="794A55D4" w14:textId="77777777" w:rsidTr="000E723E">
        <w:tc>
          <w:tcPr>
            <w:tcW w:w="4669" w:type="dxa"/>
          </w:tcPr>
          <w:p w14:paraId="1508D841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0F5CE1AD" w14:textId="77777777" w:rsidR="000E723E" w:rsidRDefault="000E723E">
            <w:pPr>
              <w:pStyle w:val="2"/>
              <w:ind w:firstLine="567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3CB97C2" w14:textId="77777777" w:rsidR="000E723E" w:rsidRDefault="000E723E" w:rsidP="000E723E">
      <w:pPr>
        <w:pStyle w:val="2"/>
        <w:spacing w:line="240" w:lineRule="auto"/>
        <w:ind w:firstLine="567"/>
      </w:pPr>
    </w:p>
    <w:p w14:paraId="2489BD21" w14:textId="77777777" w:rsidR="000E723E" w:rsidRDefault="000E723E" w:rsidP="000E723E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532951AF" w14:textId="77777777" w:rsidR="000E723E" w:rsidRDefault="000E723E" w:rsidP="000E723E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732F9757" w14:textId="24CD3DE3" w:rsidR="000E723E" w:rsidRDefault="000E723E" w:rsidP="000E723E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20 июня 2024 года № 68-14</w:t>
      </w:r>
    </w:p>
    <w:p w14:paraId="03CDCC9C" w14:textId="77777777" w:rsidR="000E723E" w:rsidRDefault="000E723E" w:rsidP="000E723E">
      <w:pPr>
        <w:spacing w:line="240" w:lineRule="auto"/>
        <w:jc w:val="left"/>
        <w:rPr>
          <w:rFonts w:eastAsia="Times New Roman"/>
          <w:lang w:eastAsia="ru-RU"/>
        </w:rPr>
      </w:pPr>
    </w:p>
    <w:p w14:paraId="092F34A6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Список кандидатур для исключения из резерва состава участковой комиссии на основании подпункта «г»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14:paraId="73036BB7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5483A26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0E723E" w14:paraId="1074F56E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A896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41BB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8876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0E723E" w14:paraId="275AA5B7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3947" w14:textId="2DF4C0FF" w:rsidR="000E723E" w:rsidRDefault="00E75DAD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Федоров Александр Валерьевич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3B19" w14:textId="702EAE94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E75DAD">
              <w:rPr>
                <w:rFonts w:eastAsia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13E9" w14:textId="4F35426F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E75DAD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</w:tr>
    </w:tbl>
    <w:p w14:paraId="741CCD01" w14:textId="77777777" w:rsidR="00E75DAD" w:rsidRDefault="00E75DAD" w:rsidP="00E75DAD">
      <w:bookmarkStart w:id="2" w:name="_GoBack"/>
      <w:bookmarkEnd w:id="2"/>
    </w:p>
    <w:p w14:paraId="235F0712" w14:textId="77777777" w:rsidR="00DD3AAA" w:rsidRDefault="00DD3AAA" w:rsidP="00DD3AAA"/>
    <w:p w14:paraId="0F9EF8BC" w14:textId="77777777" w:rsidR="00DD3AAA" w:rsidRDefault="00DD3AAA" w:rsidP="00DD3AAA"/>
    <w:p w14:paraId="60B90ACD" w14:textId="77777777" w:rsidR="00DD3AAA" w:rsidRDefault="00DD3AAA" w:rsidP="00DD3AAA"/>
    <w:p w14:paraId="6530E025" w14:textId="77777777" w:rsidR="001A0C91" w:rsidRDefault="001A0C91"/>
    <w:sectPr w:rsidR="001A0C9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9F"/>
    <w:rsid w:val="000E723E"/>
    <w:rsid w:val="0013599F"/>
    <w:rsid w:val="001A0C91"/>
    <w:rsid w:val="004F173E"/>
    <w:rsid w:val="00CD0470"/>
    <w:rsid w:val="00DD3AAA"/>
    <w:rsid w:val="00E7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7EA9"/>
  <w15:chartTrackingRefBased/>
  <w15:docId w15:val="{C030FEF6-1E2B-47F1-B911-2B352154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AA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D3AA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3AA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DD3AA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DD3AAA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7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10</cp:revision>
  <dcterms:created xsi:type="dcterms:W3CDTF">2024-06-19T12:43:00Z</dcterms:created>
  <dcterms:modified xsi:type="dcterms:W3CDTF">2024-06-19T12:58:00Z</dcterms:modified>
</cp:coreProperties>
</file>